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34" w:rsidRPr="004B339F" w:rsidRDefault="00704234" w:rsidP="00704234">
      <w:pPr>
        <w:spacing w:line="1300" w:lineRule="exact"/>
        <w:jc w:val="center"/>
        <w:rPr>
          <w:rFonts w:eastAsia="宋体" w:hAnsi="宋体" w:hint="eastAsia"/>
          <w:b/>
          <w:bCs/>
          <w:color w:val="FF0000"/>
          <w:spacing w:val="5"/>
          <w:w w:val="71"/>
          <w:kern w:val="0"/>
          <w:sz w:val="110"/>
          <w:szCs w:val="24"/>
        </w:rPr>
      </w:pPr>
      <w:r w:rsidRPr="00704234">
        <w:rPr>
          <w:rFonts w:eastAsia="宋体" w:hAnsi="宋体" w:hint="eastAsia"/>
          <w:b/>
          <w:bCs/>
          <w:color w:val="FF0000"/>
          <w:spacing w:val="5"/>
          <w:w w:val="71"/>
          <w:kern w:val="0"/>
          <w:sz w:val="110"/>
          <w:szCs w:val="24"/>
          <w:fitText w:val="8746" w:id="1925869824"/>
        </w:rPr>
        <w:t>中共无锡市第六高级中</w:t>
      </w:r>
      <w:r w:rsidRPr="00704234">
        <w:rPr>
          <w:rFonts w:eastAsia="宋体" w:hAnsi="宋体" w:hint="eastAsia"/>
          <w:b/>
          <w:bCs/>
          <w:color w:val="FF0000"/>
          <w:spacing w:val="-1"/>
          <w:w w:val="71"/>
          <w:kern w:val="0"/>
          <w:sz w:val="110"/>
          <w:szCs w:val="24"/>
          <w:fitText w:val="8746" w:id="1925869824"/>
        </w:rPr>
        <w:t>学</w:t>
      </w:r>
    </w:p>
    <w:p w:rsidR="00704234" w:rsidRPr="004B339F" w:rsidRDefault="00704234" w:rsidP="00704234">
      <w:pPr>
        <w:spacing w:line="1300" w:lineRule="exact"/>
        <w:jc w:val="center"/>
        <w:rPr>
          <w:rFonts w:eastAsia="宋体" w:hAnsi="宋体"/>
          <w:b/>
          <w:bCs/>
          <w:color w:val="FF0000"/>
          <w:spacing w:val="5"/>
          <w:w w:val="71"/>
          <w:kern w:val="0"/>
          <w:sz w:val="110"/>
          <w:szCs w:val="24"/>
        </w:rPr>
      </w:pPr>
      <w:r w:rsidRPr="00704234">
        <w:rPr>
          <w:rFonts w:eastAsia="宋体" w:hAnsi="宋体" w:hint="eastAsia"/>
          <w:b/>
          <w:bCs/>
          <w:color w:val="FF0000"/>
          <w:spacing w:val="4"/>
          <w:w w:val="55"/>
          <w:kern w:val="0"/>
          <w:sz w:val="110"/>
          <w:szCs w:val="24"/>
          <w:fitText w:val="6778" w:id="1925869825"/>
        </w:rPr>
        <w:t>党</w:t>
      </w:r>
      <w:r w:rsidRPr="00704234">
        <w:rPr>
          <w:rFonts w:eastAsia="宋体" w:hAnsi="宋体" w:hint="eastAsia"/>
          <w:b/>
          <w:bCs/>
          <w:color w:val="FF0000"/>
          <w:spacing w:val="4"/>
          <w:w w:val="55"/>
          <w:kern w:val="0"/>
          <w:sz w:val="110"/>
          <w:szCs w:val="24"/>
          <w:fitText w:val="6778" w:id="1925869825"/>
        </w:rPr>
        <w:t xml:space="preserve">  </w:t>
      </w:r>
      <w:r w:rsidRPr="00704234">
        <w:rPr>
          <w:rFonts w:eastAsia="宋体" w:hAnsi="宋体" w:hint="eastAsia"/>
          <w:b/>
          <w:bCs/>
          <w:color w:val="FF0000"/>
          <w:spacing w:val="4"/>
          <w:w w:val="55"/>
          <w:kern w:val="0"/>
          <w:sz w:val="110"/>
          <w:szCs w:val="24"/>
          <w:fitText w:val="6778" w:id="1925869825"/>
        </w:rPr>
        <w:t>总</w:t>
      </w:r>
      <w:r w:rsidRPr="00704234">
        <w:rPr>
          <w:rFonts w:eastAsia="宋体" w:hAnsi="宋体" w:hint="eastAsia"/>
          <w:b/>
          <w:bCs/>
          <w:color w:val="FF0000"/>
          <w:spacing w:val="4"/>
          <w:w w:val="55"/>
          <w:kern w:val="0"/>
          <w:sz w:val="110"/>
          <w:szCs w:val="24"/>
          <w:fitText w:val="6778" w:id="1925869825"/>
        </w:rPr>
        <w:t xml:space="preserve">  </w:t>
      </w:r>
      <w:r w:rsidRPr="00704234">
        <w:rPr>
          <w:rFonts w:eastAsia="宋体" w:hAnsi="宋体" w:hint="eastAsia"/>
          <w:b/>
          <w:bCs/>
          <w:color w:val="FF0000"/>
          <w:spacing w:val="4"/>
          <w:w w:val="55"/>
          <w:kern w:val="0"/>
          <w:sz w:val="110"/>
          <w:szCs w:val="24"/>
          <w:fitText w:val="6778" w:id="1925869825"/>
        </w:rPr>
        <w:t>支</w:t>
      </w:r>
      <w:r w:rsidRPr="00704234">
        <w:rPr>
          <w:rFonts w:eastAsia="宋体" w:hAnsi="宋体" w:hint="eastAsia"/>
          <w:b/>
          <w:bCs/>
          <w:color w:val="FF0000"/>
          <w:spacing w:val="4"/>
          <w:w w:val="55"/>
          <w:kern w:val="0"/>
          <w:sz w:val="110"/>
          <w:szCs w:val="24"/>
          <w:fitText w:val="6778" w:id="1925869825"/>
        </w:rPr>
        <w:t xml:space="preserve">  </w:t>
      </w:r>
      <w:r w:rsidRPr="00704234">
        <w:rPr>
          <w:rFonts w:eastAsia="宋体" w:hAnsi="宋体" w:hint="eastAsia"/>
          <w:b/>
          <w:bCs/>
          <w:color w:val="FF0000"/>
          <w:spacing w:val="4"/>
          <w:w w:val="55"/>
          <w:kern w:val="0"/>
          <w:sz w:val="110"/>
          <w:szCs w:val="24"/>
          <w:fitText w:val="6778" w:id="1925869825"/>
        </w:rPr>
        <w:t>委</w:t>
      </w:r>
      <w:r w:rsidRPr="00704234">
        <w:rPr>
          <w:rFonts w:eastAsia="宋体" w:hAnsi="宋体" w:hint="eastAsia"/>
          <w:b/>
          <w:bCs/>
          <w:color w:val="FF0000"/>
          <w:spacing w:val="4"/>
          <w:w w:val="55"/>
          <w:kern w:val="0"/>
          <w:sz w:val="110"/>
          <w:szCs w:val="24"/>
          <w:fitText w:val="6778" w:id="1925869825"/>
        </w:rPr>
        <w:t xml:space="preserve">  </w:t>
      </w:r>
      <w:r w:rsidRPr="00704234">
        <w:rPr>
          <w:rFonts w:eastAsia="宋体" w:hAnsi="宋体" w:hint="eastAsia"/>
          <w:b/>
          <w:bCs/>
          <w:color w:val="FF0000"/>
          <w:spacing w:val="4"/>
          <w:w w:val="55"/>
          <w:kern w:val="0"/>
          <w:sz w:val="110"/>
          <w:szCs w:val="24"/>
          <w:fitText w:val="6778" w:id="1925869825"/>
        </w:rPr>
        <w:t>员</w:t>
      </w:r>
      <w:r w:rsidRPr="00704234">
        <w:rPr>
          <w:rFonts w:eastAsia="宋体" w:hAnsi="宋体" w:hint="eastAsia"/>
          <w:b/>
          <w:bCs/>
          <w:color w:val="FF0000"/>
          <w:spacing w:val="4"/>
          <w:w w:val="55"/>
          <w:kern w:val="0"/>
          <w:sz w:val="110"/>
          <w:szCs w:val="24"/>
          <w:fitText w:val="6778" w:id="1925869825"/>
        </w:rPr>
        <w:t xml:space="preserve">  </w:t>
      </w:r>
      <w:r w:rsidRPr="00704234">
        <w:rPr>
          <w:rFonts w:eastAsia="宋体" w:hAnsi="宋体" w:hint="eastAsia"/>
          <w:b/>
          <w:bCs/>
          <w:color w:val="FF0000"/>
          <w:spacing w:val="-3"/>
          <w:w w:val="55"/>
          <w:kern w:val="0"/>
          <w:sz w:val="110"/>
          <w:szCs w:val="24"/>
          <w:fitText w:val="6778" w:id="1925869825"/>
        </w:rPr>
        <w:t>会</w:t>
      </w:r>
    </w:p>
    <w:p w:rsidR="00704234" w:rsidRPr="00027617" w:rsidRDefault="00704234" w:rsidP="00704234">
      <w:pPr>
        <w:spacing w:line="600" w:lineRule="exact"/>
        <w:jc w:val="center"/>
        <w:rPr>
          <w:rFonts w:eastAsia="宋体"/>
          <w:szCs w:val="20"/>
        </w:rPr>
      </w:pPr>
    </w:p>
    <w:p w:rsidR="00704234" w:rsidRPr="00704234" w:rsidRDefault="00704234" w:rsidP="00704234">
      <w:pPr>
        <w:spacing w:line="600" w:lineRule="exact"/>
        <w:jc w:val="center"/>
        <w:rPr>
          <w:rFonts w:ascii="Times New Roman" w:eastAsia="宋体" w:hAnsi="Times New Roman" w:cs="Times New Roman"/>
          <w:b/>
          <w:noProof/>
          <w:sz w:val="32"/>
          <w:szCs w:val="20"/>
        </w:rPr>
      </w:pPr>
      <w:r w:rsidRPr="00704234">
        <w:rPr>
          <w:rFonts w:ascii="Times New Roman" w:eastAsia="宋体" w:hAnsi="Times New Roman" w:cs="Times New Roman"/>
          <w:b/>
          <w:noProof/>
          <w:sz w:val="32"/>
          <w:szCs w:val="20"/>
        </w:rPr>
        <w:pict>
          <v:group id="_x0000_s3074" style="position:absolute;left:0;text-align:left;margin-left:6.05pt;margin-top:28.2pt;width:435.65pt;height:15pt;z-index:251660288" coordorigin="1508,4038" coordsize="8280,300">
            <v:rect id="_x0000_s3075" style="position:absolute;left:1508;top:4173;width:3870;height:75" fillcolor="red" stroked="f"/>
            <v:rect id="_x0000_s3076" style="position:absolute;left:5993;top:4173;width:3795;height:75" fillcolor="red" stroked="f"/>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3077" type="#_x0000_t12" style="position:absolute;left:5513;top:4038;width:315;height:300" fillcolor="red" stroked="f"/>
          </v:group>
        </w:pict>
      </w:r>
      <w:r w:rsidRPr="00704234">
        <w:rPr>
          <w:rFonts w:ascii="Times New Roman" w:eastAsia="宋体" w:hAnsi="Times New Roman" w:cs="Times New Roman" w:hint="eastAsia"/>
          <w:b/>
          <w:noProof/>
          <w:sz w:val="32"/>
          <w:szCs w:val="20"/>
        </w:rPr>
        <w:t>六中党字</w:t>
      </w:r>
      <w:r w:rsidRPr="00704234">
        <w:rPr>
          <w:rFonts w:ascii="Times New Roman" w:eastAsia="宋体" w:hAnsi="Times New Roman" w:cs="Times New Roman" w:hint="eastAsia"/>
          <w:b/>
          <w:noProof/>
          <w:sz w:val="32"/>
          <w:szCs w:val="20"/>
        </w:rPr>
        <w:t>[2019]3</w:t>
      </w:r>
      <w:r w:rsidRPr="00704234">
        <w:rPr>
          <w:rFonts w:ascii="Times New Roman" w:eastAsia="宋体" w:hAnsi="Times New Roman" w:cs="Times New Roman" w:hint="eastAsia"/>
          <w:b/>
          <w:noProof/>
          <w:sz w:val="32"/>
          <w:szCs w:val="20"/>
        </w:rPr>
        <w:t>号</w:t>
      </w:r>
    </w:p>
    <w:p w:rsidR="00704234" w:rsidRDefault="00704234" w:rsidP="00704234">
      <w:pPr>
        <w:spacing w:line="600" w:lineRule="exact"/>
        <w:rPr>
          <w:rFonts w:eastAsia="宋体"/>
          <w:szCs w:val="20"/>
        </w:rPr>
      </w:pPr>
      <w:r w:rsidRPr="00027617">
        <w:rPr>
          <w:rFonts w:eastAsia="宋体" w:hint="eastAsia"/>
          <w:szCs w:val="20"/>
        </w:rPr>
        <w:t xml:space="preserve"> </w:t>
      </w:r>
    </w:p>
    <w:p w:rsidR="00704234" w:rsidRPr="00414C93" w:rsidRDefault="00704234" w:rsidP="00D6499D">
      <w:pPr>
        <w:spacing w:line="600" w:lineRule="exact"/>
        <w:rPr>
          <w:rFonts w:ascii="方正小标宋_GBK" w:eastAsia="方正小标宋_GBK" w:hAnsi="宋体" w:cs="宋体" w:hint="eastAsia"/>
          <w:color w:val="333333"/>
          <w:kern w:val="0"/>
          <w:sz w:val="44"/>
          <w:szCs w:val="44"/>
        </w:rPr>
      </w:pPr>
      <w:r>
        <w:rPr>
          <w:rFonts w:ascii="方正小标宋_GBK" w:eastAsia="方正小标宋_GBK" w:hAnsi="宋体" w:cs="宋体" w:hint="eastAsia"/>
          <w:color w:val="333333"/>
          <w:kern w:val="0"/>
          <w:sz w:val="44"/>
          <w:szCs w:val="44"/>
        </w:rPr>
        <w:t xml:space="preserve">    </w:t>
      </w:r>
      <w:r w:rsidRPr="00414C93">
        <w:rPr>
          <w:rFonts w:ascii="方正小标宋_GBK" w:eastAsia="方正小标宋_GBK" w:hAnsi="宋体" w:cs="宋体" w:hint="eastAsia"/>
          <w:color w:val="333333"/>
          <w:kern w:val="0"/>
          <w:sz w:val="44"/>
          <w:szCs w:val="44"/>
        </w:rPr>
        <w:t>关于印发《无锡市第六高级中学</w:t>
      </w:r>
      <w:r w:rsidRPr="00704234">
        <w:rPr>
          <w:rFonts w:ascii="方正小标宋_GBK" w:eastAsia="方正小标宋_GBK" w:hAnsi="宋体" w:cs="宋体" w:hint="eastAsia"/>
          <w:color w:val="333333"/>
          <w:kern w:val="0"/>
          <w:sz w:val="44"/>
          <w:szCs w:val="44"/>
        </w:rPr>
        <w:t>意识形态工作责任制实施细则</w:t>
      </w:r>
      <w:r w:rsidRPr="00414C93">
        <w:rPr>
          <w:rFonts w:ascii="方正小标宋_GBK" w:eastAsia="方正小标宋_GBK" w:hAnsi="宋体" w:cs="宋体" w:hint="eastAsia"/>
          <w:color w:val="333333"/>
          <w:kern w:val="0"/>
          <w:sz w:val="44"/>
          <w:szCs w:val="44"/>
        </w:rPr>
        <w:t>》的通知</w:t>
      </w:r>
    </w:p>
    <w:p w:rsidR="00704234" w:rsidRDefault="00704234">
      <w:pPr>
        <w:ind w:firstLineChars="200" w:firstLine="560"/>
        <w:rPr>
          <w:rFonts w:ascii="宋体" w:hAnsi="宋体" w:hint="eastAsia"/>
          <w:sz w:val="28"/>
          <w:szCs w:val="28"/>
        </w:rPr>
      </w:pP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第一章</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总则</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第一条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为进一步加强和改进意识形态工作，落实党要管党意识形态原则，明确党总支领导班子领导干部的意识形态工作责任，根据上级有关文件精神制定本细则。</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第二条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意识形态工作是党的一项极端重要的工作，关乎旗帜，关乎道路，关乎国家政治安全，做好意识形态工作对巩固马克思主义在意识形态领域的指导地位，巩固全党全国各族人民团结奋斗的共同思想基础，对凝聚力量推动教育事业发展具有重要意义。</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第三条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落实意识形态工作责任制，必须坚持党管意识形态的原则，坚持谁主管谁负责的原则。</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第四条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党组织领导班子对本单位意识形态工作</w:t>
      </w:r>
      <w:proofErr w:type="gramStart"/>
      <w:r w:rsidRPr="00704234">
        <w:rPr>
          <w:rFonts w:ascii="方正楷体_GBK" w:eastAsia="方正楷体_GBK" w:hAnsi="宋体" w:cs="Times New Roman" w:hint="eastAsia"/>
          <w:sz w:val="32"/>
          <w:szCs w:val="32"/>
        </w:rPr>
        <w:t>负主体</w:t>
      </w:r>
      <w:proofErr w:type="gramEnd"/>
      <w:r w:rsidRPr="00704234">
        <w:rPr>
          <w:rFonts w:ascii="方正楷体_GBK" w:eastAsia="方正楷体_GBK" w:hAnsi="宋体" w:cs="Times New Roman" w:hint="eastAsia"/>
          <w:sz w:val="32"/>
          <w:szCs w:val="32"/>
        </w:rPr>
        <w:t>责任，党总支书记是第一责任人，要旗帜鲜明地站在意识形态工作第一线，带头抓意识形态工作，带头管阵地把导向</w:t>
      </w:r>
      <w:r w:rsidRPr="00704234">
        <w:rPr>
          <w:rFonts w:ascii="方正楷体_GBK" w:eastAsia="方正楷体_GBK" w:hAnsi="宋体" w:cs="Times New Roman" w:hint="eastAsia"/>
          <w:sz w:val="32"/>
          <w:szCs w:val="32"/>
        </w:rPr>
        <w:lastRenderedPageBreak/>
        <w:t>强队伍，带头批评错误观点和错误倾向，重点工作亲自</w:t>
      </w:r>
      <w:r w:rsidRPr="00704234">
        <w:rPr>
          <w:rFonts w:ascii="方正楷体_GBK" w:eastAsia="方正楷体_GBK" w:hAnsi="宋体" w:cs="Times New Roman" w:hint="eastAsia"/>
          <w:sz w:val="32"/>
          <w:szCs w:val="32"/>
        </w:rPr>
        <w:t>部署，重要问题亲自过问，重大事件亲自处置。</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第五条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党</w:t>
      </w:r>
      <w:r w:rsidRPr="00704234">
        <w:rPr>
          <w:rFonts w:ascii="方正楷体_GBK" w:eastAsia="方正楷体_GBK" w:hAnsi="宋体" w:cs="Times New Roman" w:hint="eastAsia"/>
          <w:sz w:val="32"/>
          <w:szCs w:val="32"/>
        </w:rPr>
        <w:t>总支</w:t>
      </w:r>
      <w:r w:rsidRPr="00704234">
        <w:rPr>
          <w:rFonts w:ascii="方正楷体_GBK" w:eastAsia="方正楷体_GBK" w:hAnsi="宋体" w:cs="Times New Roman" w:hint="eastAsia"/>
          <w:sz w:val="32"/>
          <w:szCs w:val="32"/>
        </w:rPr>
        <w:t>分管领导、党支部书记是直接责任人，协助党总支书记抓好统筹协调指导工作。其他成员根据工作分工，按照一岗双责的要求抓好分管部门、级部的意识形态工作对职责范围内的意识形态工作负领导责任。</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第六条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学校党总支、党支部要把意识形态工作作为党的建设的重要内容，列入年度工作要点，纳入重要议事日程，纳入党建工作责任制，纳入领导班子、领导干部目标管理与中心工作紧密结合，一同部署，一同落实，一同检查，一同考核。</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第七条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党总支成立意识形态工作领导小组，党总支书</w:t>
      </w:r>
      <w:r w:rsidRPr="00704234">
        <w:rPr>
          <w:rFonts w:ascii="方正楷体_GBK" w:eastAsia="方正楷体_GBK" w:hAnsi="宋体" w:cs="Times New Roman" w:hint="eastAsia"/>
          <w:sz w:val="32"/>
          <w:szCs w:val="32"/>
        </w:rPr>
        <w:t>记任组长，校长任副组长，其他班子成员、级部书记为成员。</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第二章</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党支部主要责任</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第八条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认真贯彻落实党中央和上级党委关于意识形态工作的决策部署及指示精神，牢牢把握正确的政治方向，严守政治纪律和政治规矩，坚决维护党中央的权威，在思想上政治上行动上同党中央保持高度一致。</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第九条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定期分析</w:t>
      </w:r>
      <w:proofErr w:type="gramStart"/>
      <w:r w:rsidRPr="00704234">
        <w:rPr>
          <w:rFonts w:ascii="方正楷体_GBK" w:eastAsia="方正楷体_GBK" w:hAnsi="宋体" w:cs="Times New Roman" w:hint="eastAsia"/>
          <w:sz w:val="32"/>
          <w:szCs w:val="32"/>
        </w:rPr>
        <w:t>研</w:t>
      </w:r>
      <w:proofErr w:type="gramEnd"/>
      <w:r w:rsidRPr="00704234">
        <w:rPr>
          <w:rFonts w:ascii="方正楷体_GBK" w:eastAsia="方正楷体_GBK" w:hAnsi="宋体" w:cs="Times New Roman" w:hint="eastAsia"/>
          <w:sz w:val="32"/>
          <w:szCs w:val="32"/>
        </w:rPr>
        <w:t>判意识形态领域情况，辨析思想领域的突出问题，对重大事件、重要情况、重要社情民意中的倾向性苗头性问题，有针对性地进行引导，维护意识形态安全。</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党组织至少每半年专题研究一次意识形态工作。及时向上级党委报告意识形</w:t>
      </w:r>
      <w:r w:rsidRPr="00704234">
        <w:rPr>
          <w:rFonts w:ascii="方正楷体_GBK" w:eastAsia="方正楷体_GBK" w:hAnsi="宋体" w:cs="Times New Roman" w:hint="eastAsia"/>
          <w:sz w:val="32"/>
          <w:szCs w:val="32"/>
        </w:rPr>
        <w:t>态领域的重大情况并提出建设性的意见。定期在党内通报意识形态领域情况，统一思想认识，明确工作目标。</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lastRenderedPageBreak/>
        <w:t>第十一条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加强对意识形态工作的统一领导，形成党政齐抓共管，部门分工负责的工作格局。进一步完善中心组学习制度，加强对党员干部、党员教师意识形态工作的教育培训，增强责任意识，提高政治鉴别力。</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第十二条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加强对各类意识形态阵地的管理，包括举办各类报告会、研讨会、讲座、论坛等。严格落实有关规定，加强对宗教及宗教思想传播的管理。</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第十三条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切实维护网络意识形态安全，牢牢掌握网络意识形态的主导权。切实加强网络信息</w:t>
      </w:r>
      <w:r w:rsidRPr="00704234">
        <w:rPr>
          <w:rFonts w:ascii="方正楷体_GBK" w:eastAsia="方正楷体_GBK" w:hAnsi="宋体" w:cs="Times New Roman" w:hint="eastAsia"/>
          <w:sz w:val="32"/>
          <w:szCs w:val="32"/>
        </w:rPr>
        <w:t>管控，对于发布或转发错误言论的，要敢抓敢管敢于亮剑，对散布传播政治谣言的党员干部要依法严肃处理。</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第三章</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监督考核</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第十四条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学校党总支建立意识形态工作责任制的检查考核制度。重点检查各部门、各党支部落实意识形态主体责任、加强组织领导、贯彻中央和上级党委关于意识形态工作的决策部署、分析</w:t>
      </w:r>
      <w:proofErr w:type="gramStart"/>
      <w:r w:rsidRPr="00704234">
        <w:rPr>
          <w:rFonts w:ascii="方正楷体_GBK" w:eastAsia="方正楷体_GBK" w:hAnsi="宋体" w:cs="Times New Roman" w:hint="eastAsia"/>
          <w:sz w:val="32"/>
          <w:szCs w:val="32"/>
        </w:rPr>
        <w:t>研</w:t>
      </w:r>
      <w:proofErr w:type="gramEnd"/>
      <w:r w:rsidRPr="00704234">
        <w:rPr>
          <w:rFonts w:ascii="方正楷体_GBK" w:eastAsia="方正楷体_GBK" w:hAnsi="宋体" w:cs="Times New Roman" w:hint="eastAsia"/>
          <w:sz w:val="32"/>
          <w:szCs w:val="32"/>
        </w:rPr>
        <w:t>判意识形态领域状况、加强意识形态阵地管理、维护网络意识形态安全、开展思想舆论宣传和责任追究的情况。</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第十五条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党支部每半年向上级党总支专题汇报一次意识形态工作。班子成员要把意识形态工作作为民主生活会和述职报告的重要内容</w:t>
      </w:r>
      <w:r w:rsidRPr="00704234">
        <w:rPr>
          <w:rFonts w:ascii="方正楷体_GBK" w:eastAsia="方正楷体_GBK" w:hAnsi="宋体" w:cs="Times New Roman" w:hint="eastAsia"/>
          <w:sz w:val="32"/>
          <w:szCs w:val="32"/>
        </w:rPr>
        <w:t>，接受监督和评议。</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第四章</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责任追究</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第十六条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要按照干部管理权限，对领导班子、领导干部进行问责。问责情况，报局党委、局纪委备案。</w:t>
      </w:r>
    </w:p>
    <w:p w:rsidR="00C04B78" w:rsidRPr="00704234" w:rsidRDefault="00D62827" w:rsidP="00D6499D">
      <w:pPr>
        <w:spacing w:line="520" w:lineRule="exact"/>
        <w:ind w:firstLineChars="200" w:firstLine="640"/>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第十七条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有下列情形之一的，视情节轻重追究相关人员的责任：</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lastRenderedPageBreak/>
        <w:t>（一）对党中央或者上级党组织安排部署的重大宣传教育任务、重大思想舆论斗争组织开展不力的；</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（二）在处置意识形态领域重大问题上，分管领导、党支部书记没有站在第一线、没有带头与错误观点和错误倾向作斗争的。</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（三）管辖</w:t>
      </w:r>
      <w:r w:rsidRPr="00704234">
        <w:rPr>
          <w:rFonts w:ascii="方正楷体_GBK" w:eastAsia="方正楷体_GBK" w:hAnsi="宋体" w:cs="Times New Roman" w:hint="eastAsia"/>
          <w:sz w:val="32"/>
          <w:szCs w:val="32"/>
        </w:rPr>
        <w:t>范</w:t>
      </w:r>
      <w:r w:rsidRPr="00704234">
        <w:rPr>
          <w:rFonts w:ascii="方正楷体_GBK" w:eastAsia="方正楷体_GBK" w:hAnsi="宋体" w:cs="Times New Roman" w:hint="eastAsia"/>
          <w:sz w:val="32"/>
          <w:szCs w:val="32"/>
        </w:rPr>
        <w:t>围内发生由意识形态领域问题引发的群体性事件的；</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（四）对所管理的党员干部公开发布违背党章、党的决定决议和政策的言论放任不管、处置不力的；</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（五）管辖范围内网络意识形态安全出现严重问题的；</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（六）管辖范围内举办的报告会、研讨会、讲座、论坛有发表否定党的领导、攻击中国特色社会主义制度言论，造成严重影响和后果的；</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（七）其他未能切实履行工作职责，造成严重后果的。</w:t>
      </w:r>
    </w:p>
    <w:p w:rsidR="00C04B78" w:rsidRPr="00704234" w:rsidRDefault="00D62827" w:rsidP="00D6499D">
      <w:pPr>
        <w:spacing w:line="520" w:lineRule="exact"/>
        <w:rPr>
          <w:rFonts w:ascii="方正楷体_GBK" w:eastAsia="方正楷体_GBK" w:hAnsi="宋体" w:cs="Times New Roman"/>
          <w:sz w:val="32"/>
          <w:szCs w:val="32"/>
        </w:rPr>
      </w:pPr>
      <w:r w:rsidRPr="00704234">
        <w:rPr>
          <w:rFonts w:ascii="方正楷体_GBK" w:eastAsia="方正楷体_GBK" w:hAnsi="宋体" w:cs="Times New Roman" w:hint="eastAsia"/>
          <w:sz w:val="32"/>
          <w:szCs w:val="32"/>
        </w:rPr>
        <w:t>第十八条</w:t>
      </w:r>
      <w:r w:rsidRPr="00704234">
        <w:rPr>
          <w:rFonts w:ascii="方正楷体_GBK" w:eastAsia="方正楷体_GBK" w:hAnsi="宋体" w:cs="Times New Roman" w:hint="eastAsia"/>
          <w:sz w:val="32"/>
          <w:szCs w:val="32"/>
        </w:rPr>
        <w:t xml:space="preserve">  </w:t>
      </w:r>
      <w:r w:rsidRPr="00704234">
        <w:rPr>
          <w:rFonts w:ascii="方正楷体_GBK" w:eastAsia="方正楷体_GBK" w:hAnsi="宋体" w:cs="Times New Roman" w:hint="eastAsia"/>
          <w:sz w:val="32"/>
          <w:szCs w:val="32"/>
        </w:rPr>
        <w:t>受到责任追究的领导干部，取消当年考核评优和评先资格。</w:t>
      </w:r>
    </w:p>
    <w:p w:rsidR="00D6499D" w:rsidRDefault="00D6499D" w:rsidP="00D6499D">
      <w:pPr>
        <w:spacing w:line="560" w:lineRule="exact"/>
        <w:jc w:val="left"/>
        <w:rPr>
          <w:rFonts w:ascii="方正楷体_GBK" w:eastAsia="方正楷体_GBK" w:hAnsi="宋体" w:cs="Times New Roman" w:hint="eastAsia"/>
          <w:sz w:val="32"/>
          <w:szCs w:val="32"/>
        </w:rPr>
      </w:pPr>
      <w:bookmarkStart w:id="0" w:name="_GoBack"/>
      <w:bookmarkEnd w:id="0"/>
      <w:r>
        <w:rPr>
          <w:rFonts w:ascii="方正楷体_GBK" w:eastAsia="方正楷体_GBK" w:hAnsi="宋体" w:cs="Times New Roman" w:hint="eastAsia"/>
          <w:noProof/>
          <w:sz w:val="32"/>
          <w:szCs w:val="32"/>
        </w:rPr>
        <w:pict>
          <v:group id="_x0000_s3078" style="position:absolute;margin-left:222.9pt;margin-top:3.7pt;width:119.05pt;height:119.05pt;z-index:-251655168" coordorigin="2628,12780" coordsize="2381,2381">
            <v:group id="_x0000_s3079" style="position:absolute;left:2628;top:12780;width:2381;height:2381" coordorigin="3900,5172" coordsize="2381,2381">
              <v:oval id="_x0000_s3080" style="position:absolute;left:3900;top:5172;width:2381;height:2381" filled="f" strokecolor="red" strokeweight="3p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3081" type="#_x0000_t144" style="position:absolute;left:4155;top:5445;width:1890;height:1770;rotation:180" adj="-4260464" fillcolor="red" strokecolor="red">
                <v:shadow color="#868686"/>
                <v:textpath style="font-family:&quot;宋体&quot;;font-size:18pt" fitshape="t" trim="t" string="中国共产党无锡市第六高级中学总支委员会"/>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82" type="#_x0000_t75" alt="党徽" href="http://www.nipic.com/show/2/28/7840677k7ee01e20.html" target="_blank" title="党徽" style="position:absolute;left:3483;top:13503;width:690;height:720;rotation:3476547fd;visibility:visible" o:button="t">
              <v:imagedata r:id="rId7" o:title="党徽" croptop="6554f" cropbottom="7864f" cropleft="7864f" cropright="8301f" chromakey="#fffdff"/>
            </v:shape>
          </v:group>
        </w:pict>
      </w:r>
    </w:p>
    <w:p w:rsidR="00D6499D" w:rsidRPr="00D6499D" w:rsidRDefault="00D6499D" w:rsidP="00D6499D">
      <w:pPr>
        <w:spacing w:line="560" w:lineRule="exact"/>
        <w:jc w:val="left"/>
        <w:rPr>
          <w:rFonts w:ascii="方正楷体_GBK" w:eastAsia="方正楷体_GBK" w:hAnsi="宋体" w:cs="Times New Roman" w:hint="eastAsia"/>
          <w:sz w:val="32"/>
          <w:szCs w:val="32"/>
        </w:rPr>
      </w:pPr>
      <w:r>
        <w:rPr>
          <w:rFonts w:ascii="方正楷体_GBK" w:eastAsia="方正楷体_GBK" w:hAnsi="宋体" w:cs="Times New Roman" w:hint="eastAsia"/>
          <w:sz w:val="32"/>
          <w:szCs w:val="32"/>
        </w:rPr>
        <w:t xml:space="preserve">                     </w:t>
      </w:r>
      <w:r w:rsidRPr="00D6499D">
        <w:rPr>
          <w:rFonts w:ascii="方正楷体_GBK" w:eastAsia="方正楷体_GBK" w:hAnsi="宋体" w:cs="Times New Roman" w:hint="eastAsia"/>
          <w:sz w:val="32"/>
          <w:szCs w:val="32"/>
        </w:rPr>
        <w:t>无锡市第六高级中学党总支委员会</w:t>
      </w:r>
    </w:p>
    <w:p w:rsidR="00D6499D" w:rsidRPr="00D6499D" w:rsidRDefault="00D6499D" w:rsidP="00D6499D">
      <w:pPr>
        <w:spacing w:line="560" w:lineRule="exact"/>
        <w:ind w:firstLineChars="200" w:firstLine="640"/>
        <w:jc w:val="left"/>
        <w:rPr>
          <w:rFonts w:ascii="方正楷体_GBK" w:eastAsia="方正楷体_GBK" w:hAnsi="宋体" w:cs="Times New Roman" w:hint="eastAsia"/>
          <w:sz w:val="32"/>
          <w:szCs w:val="32"/>
        </w:rPr>
      </w:pPr>
      <w:r w:rsidRPr="00D6499D">
        <w:rPr>
          <w:rFonts w:ascii="方正楷体_GBK" w:eastAsia="方正楷体_GBK" w:hAnsi="宋体" w:cs="Times New Roman" w:hint="eastAsia"/>
          <w:sz w:val="32"/>
          <w:szCs w:val="32"/>
        </w:rPr>
        <w:t xml:space="preserve">                             2019.2.2</w:t>
      </w:r>
    </w:p>
    <w:p w:rsidR="00D6499D" w:rsidRPr="00D6499D" w:rsidRDefault="00D6499D" w:rsidP="00D6499D">
      <w:pPr>
        <w:spacing w:line="560" w:lineRule="exact"/>
        <w:ind w:firstLineChars="200" w:firstLine="640"/>
        <w:jc w:val="left"/>
        <w:rPr>
          <w:rFonts w:ascii="方正楷体_GBK" w:eastAsia="方正楷体_GBK" w:hAnsi="宋体" w:cs="Times New Roman" w:hint="eastAsia"/>
          <w:sz w:val="32"/>
          <w:szCs w:val="32"/>
        </w:rPr>
      </w:pPr>
    </w:p>
    <w:p w:rsidR="00D6499D" w:rsidRDefault="00D6499D" w:rsidP="00D6499D">
      <w:pPr>
        <w:spacing w:line="560" w:lineRule="exact"/>
        <w:ind w:firstLineChars="200" w:firstLine="640"/>
        <w:jc w:val="left"/>
        <w:rPr>
          <w:rFonts w:ascii="方正楷体_GBK" w:eastAsia="方正楷体_GBK" w:hAnsi="宋体" w:cs="Times New Roman" w:hint="eastAsia"/>
          <w:sz w:val="32"/>
          <w:szCs w:val="32"/>
        </w:rPr>
      </w:pPr>
    </w:p>
    <w:p w:rsidR="00D6499D" w:rsidRDefault="00D6499D" w:rsidP="00D6499D">
      <w:pPr>
        <w:spacing w:line="560" w:lineRule="exact"/>
        <w:ind w:firstLineChars="200" w:firstLine="640"/>
        <w:jc w:val="left"/>
        <w:rPr>
          <w:rFonts w:ascii="方正楷体_GBK" w:eastAsia="方正楷体_GBK" w:hAnsi="宋体" w:cs="Times New Roman" w:hint="eastAsia"/>
          <w:sz w:val="32"/>
          <w:szCs w:val="32"/>
        </w:rPr>
      </w:pPr>
    </w:p>
    <w:p w:rsidR="00D6499D" w:rsidRDefault="00D6499D" w:rsidP="00D6499D">
      <w:pPr>
        <w:spacing w:line="560" w:lineRule="exact"/>
        <w:ind w:firstLineChars="200" w:firstLine="640"/>
        <w:jc w:val="left"/>
        <w:rPr>
          <w:rFonts w:ascii="方正楷体_GBK" w:eastAsia="方正楷体_GBK" w:hAnsi="宋体" w:cs="Times New Roman" w:hint="eastAsia"/>
          <w:sz w:val="32"/>
          <w:szCs w:val="32"/>
        </w:rPr>
      </w:pPr>
    </w:p>
    <w:p w:rsidR="00D6499D" w:rsidRPr="00D6499D" w:rsidRDefault="00D6499D" w:rsidP="00D6499D">
      <w:pPr>
        <w:spacing w:line="560" w:lineRule="exact"/>
        <w:ind w:firstLineChars="200" w:firstLine="640"/>
        <w:jc w:val="left"/>
        <w:rPr>
          <w:rFonts w:ascii="方正楷体_GBK" w:eastAsia="方正楷体_GBK" w:hAnsi="宋体" w:cs="Times New Roman" w:hint="eastAsia"/>
          <w:sz w:val="32"/>
          <w:szCs w:val="3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D6499D" w:rsidRPr="00D6499D" w:rsidTr="00F84D28">
        <w:tc>
          <w:tcPr>
            <w:tcW w:w="9468" w:type="dxa"/>
            <w:tcBorders>
              <w:top w:val="single" w:sz="4" w:space="0" w:color="auto"/>
              <w:left w:val="nil"/>
              <w:bottom w:val="single" w:sz="4" w:space="0" w:color="auto"/>
              <w:right w:val="nil"/>
            </w:tcBorders>
            <w:vAlign w:val="center"/>
          </w:tcPr>
          <w:p w:rsidR="00D6499D" w:rsidRPr="00D6499D" w:rsidRDefault="00D6499D" w:rsidP="00D6499D">
            <w:pPr>
              <w:rPr>
                <w:rFonts w:ascii="方正楷体_GBK" w:eastAsia="方正楷体_GBK" w:hAnsi="宋体" w:cs="Times New Roman"/>
                <w:sz w:val="32"/>
                <w:szCs w:val="32"/>
              </w:rPr>
            </w:pPr>
            <w:r w:rsidRPr="00D6499D">
              <w:rPr>
                <w:rFonts w:ascii="方正楷体_GBK" w:eastAsia="方正楷体_GBK" w:hAnsi="宋体" w:cs="Times New Roman" w:hint="eastAsia"/>
                <w:sz w:val="32"/>
                <w:szCs w:val="32"/>
              </w:rPr>
              <w:t>无锡市第六高级中学办公室              2019年2月</w:t>
            </w:r>
            <w:r>
              <w:rPr>
                <w:rFonts w:ascii="方正楷体_GBK" w:eastAsia="方正楷体_GBK" w:hAnsi="宋体" w:cs="Times New Roman" w:hint="eastAsia"/>
                <w:sz w:val="32"/>
                <w:szCs w:val="32"/>
              </w:rPr>
              <w:t>25</w:t>
            </w:r>
            <w:r w:rsidRPr="00D6499D">
              <w:rPr>
                <w:rFonts w:ascii="方正楷体_GBK" w:eastAsia="方正楷体_GBK" w:hAnsi="宋体" w:cs="Times New Roman" w:hint="eastAsia"/>
                <w:sz w:val="32"/>
                <w:szCs w:val="32"/>
              </w:rPr>
              <w:t>日印发</w:t>
            </w:r>
          </w:p>
        </w:tc>
      </w:tr>
    </w:tbl>
    <w:p w:rsidR="00C04B78" w:rsidRPr="00D6499D" w:rsidRDefault="00C04B78" w:rsidP="00D6499D">
      <w:pPr>
        <w:spacing w:line="240" w:lineRule="atLeast"/>
        <w:rPr>
          <w:rFonts w:ascii="方正楷体_GBK" w:eastAsia="方正楷体_GBK" w:hAnsi="宋体" w:cs="Times New Roman"/>
          <w:szCs w:val="21"/>
        </w:rPr>
      </w:pPr>
    </w:p>
    <w:sectPr w:rsidR="00C04B78" w:rsidRPr="00D6499D" w:rsidSect="00C04B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827" w:rsidRDefault="00D62827" w:rsidP="00C04B78">
      <w:r>
        <w:separator/>
      </w:r>
    </w:p>
  </w:endnote>
  <w:endnote w:type="continuationSeparator" w:id="0">
    <w:p w:rsidR="00D62827" w:rsidRDefault="00D62827" w:rsidP="00C04B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78" w:rsidRDefault="00C04B7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C04B78" w:rsidRDefault="00C04B78">
                <w:pPr>
                  <w:pStyle w:val="a3"/>
                </w:pPr>
                <w:r>
                  <w:rPr>
                    <w:rFonts w:hint="eastAsia"/>
                  </w:rPr>
                  <w:fldChar w:fldCharType="begin"/>
                </w:r>
                <w:r w:rsidR="00D62827">
                  <w:rPr>
                    <w:rFonts w:hint="eastAsia"/>
                  </w:rPr>
                  <w:instrText xml:space="preserve"> PAGE  \* MERGEFORMAT </w:instrText>
                </w:r>
                <w:r>
                  <w:rPr>
                    <w:rFonts w:hint="eastAsia"/>
                  </w:rPr>
                  <w:fldChar w:fldCharType="separate"/>
                </w:r>
                <w:r w:rsidR="00D6499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827" w:rsidRDefault="00D62827" w:rsidP="00C04B78">
      <w:r>
        <w:separator/>
      </w:r>
    </w:p>
  </w:footnote>
  <w:footnote w:type="continuationSeparator" w:id="0">
    <w:p w:rsidR="00D62827" w:rsidRDefault="00D62827" w:rsidP="00C04B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F68255D"/>
    <w:rsid w:val="00704234"/>
    <w:rsid w:val="00C04B78"/>
    <w:rsid w:val="00D62827"/>
    <w:rsid w:val="00D6499D"/>
    <w:rsid w:val="1F682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B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C04B78"/>
    <w:pPr>
      <w:tabs>
        <w:tab w:val="center" w:pos="4153"/>
        <w:tab w:val="right" w:pos="8306"/>
      </w:tabs>
      <w:snapToGrid w:val="0"/>
      <w:jc w:val="left"/>
    </w:pPr>
    <w:rPr>
      <w:sz w:val="18"/>
    </w:rPr>
  </w:style>
  <w:style w:type="paragraph" w:styleId="a4">
    <w:name w:val="header"/>
    <w:basedOn w:val="a"/>
    <w:link w:val="Char"/>
    <w:rsid w:val="00704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0423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297</Words>
  <Characters>1697</Characters>
  <Application>Microsoft Office Word</Application>
  <DocSecurity>0</DocSecurity>
  <Lines>14</Lines>
  <Paragraphs>3</Paragraphs>
  <ScaleCrop>false</ScaleCrop>
  <Company>微软中国</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李曼泓</dc:creator>
  <cp:lastModifiedBy>User</cp:lastModifiedBy>
  <cp:revision>2</cp:revision>
  <dcterms:created xsi:type="dcterms:W3CDTF">2019-02-22T04:34:00Z</dcterms:created>
  <dcterms:modified xsi:type="dcterms:W3CDTF">2019-02-25T02:24:00Z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